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52055" w14:textId="5AF7333A" w:rsidR="00E74A23" w:rsidRDefault="005851C7" w:rsidP="005851C7">
      <w:pPr>
        <w:ind w:firstLine="0"/>
      </w:pPr>
      <w:r>
        <w:t xml:space="preserve">L’OBBLIGO DI RINEGOZIAZIONE </w:t>
      </w:r>
      <w:r w:rsidR="002A064C">
        <w:t>DEL</w:t>
      </w:r>
      <w:r>
        <w:t xml:space="preserve"> CONTRATTO NELLE LOCAZIONI COMMERCIALI. UN </w:t>
      </w:r>
      <w:r w:rsidR="0043216E">
        <w:t xml:space="preserve">BREVE </w:t>
      </w:r>
      <w:r>
        <w:t>COMMENTO AL PROVVEDIMENTO DEL TRIBUNALE DI ROMA DEL 27 AGOSTO 2020</w:t>
      </w:r>
    </w:p>
    <w:p w14:paraId="0E107CB5" w14:textId="43B7A4AB" w:rsidR="005851C7" w:rsidRDefault="005851C7" w:rsidP="008922AC">
      <w:pPr>
        <w:ind w:firstLine="0"/>
      </w:pPr>
    </w:p>
    <w:p w14:paraId="18F9BAD7" w14:textId="25394419" w:rsidR="00457E44" w:rsidRPr="00457E44" w:rsidRDefault="00457E44" w:rsidP="008922AC">
      <w:pPr>
        <w:ind w:firstLine="0"/>
      </w:pPr>
      <w:r>
        <w:t xml:space="preserve">Le disposizioni dettate al fine di attutire le conseguenze economiche derivanti dalla pandemia hanno introdotto alcune norme finalizzate al salvataggio dei contratti in essere. La finalità di questi intervenenti è stata quella di riequilibrare i rapporti negoziali tra le parti a fronte dell’improvviso cambiamento delle condizioni economiche e personali dovuto all’adozione delle misure di prevenzione dalla diffusione dell’epidemia. </w:t>
      </w:r>
    </w:p>
    <w:p w14:paraId="02DC6793" w14:textId="77777777" w:rsidR="00FE610F" w:rsidRDefault="00FE610F" w:rsidP="008922AC">
      <w:pPr>
        <w:ind w:firstLine="0"/>
      </w:pPr>
      <w:r>
        <w:t>La giurisprudenza, specie quella di merito, non ha tardato a recepire questi interventi.</w:t>
      </w:r>
      <w:r w:rsidR="00457E44">
        <w:t xml:space="preserve"> </w:t>
      </w:r>
      <w:r>
        <w:t>Infatti, I</w:t>
      </w:r>
      <w:r w:rsidR="00457E44">
        <w:t>n tema di locazioni commerciali s</w:t>
      </w:r>
      <w:r w:rsidR="00F018EE">
        <w:t>i ritrovano ormai sparse nell’ordinamento italiano numerose sentenze</w:t>
      </w:r>
      <w:r>
        <w:t xml:space="preserve"> </w:t>
      </w:r>
      <w:r w:rsidR="00F018EE">
        <w:t>che discutono l’esistenza di un obbligo di tentare la rinegoziazione del contratto prima di giungere alla sua risoluzione</w:t>
      </w:r>
      <w:r>
        <w:t xml:space="preserve"> ex art. 1467 c.c.</w:t>
      </w:r>
      <w:r w:rsidR="00F018EE">
        <w:t xml:space="preserve"> </w:t>
      </w:r>
    </w:p>
    <w:p w14:paraId="7967BBFB" w14:textId="6AC320CD" w:rsidR="00F018EE" w:rsidRDefault="00F018EE" w:rsidP="008922AC">
      <w:pPr>
        <w:ind w:firstLine="0"/>
      </w:pPr>
      <w:r>
        <w:t>È il caso</w:t>
      </w:r>
      <w:r w:rsidR="00FE610F">
        <w:t>, ad esempio,</w:t>
      </w:r>
      <w:r>
        <w:t xml:space="preserve"> dell’Ordinanza del Tribunale di Roma del 27 agosto 2020, che in sede cautelare ha statuito che “</w:t>
      </w:r>
      <w:r w:rsidRPr="00F018EE">
        <w:rPr>
          <w:i/>
          <w:iCs/>
        </w:rPr>
        <w:t xml:space="preserve">sorge (…) </w:t>
      </w:r>
      <w:r w:rsidRPr="00FE610F">
        <w:rPr>
          <w:b/>
          <w:bCs/>
          <w:i/>
          <w:iCs/>
          <w:u w:val="single"/>
        </w:rPr>
        <w:t>in base alla clausola generale di buona fede e correttezza</w:t>
      </w:r>
      <w:r w:rsidRPr="00F018EE">
        <w:rPr>
          <w:i/>
          <w:iCs/>
        </w:rPr>
        <w:t xml:space="preserve"> un obbligo delle parti di </w:t>
      </w:r>
      <w:r w:rsidRPr="00D930C6">
        <w:rPr>
          <w:b/>
          <w:bCs/>
          <w:i/>
          <w:iCs/>
          <w:u w:val="single"/>
        </w:rPr>
        <w:t>contrattare</w:t>
      </w:r>
      <w:r w:rsidRPr="00F018EE">
        <w:rPr>
          <w:i/>
          <w:iCs/>
        </w:rPr>
        <w:t xml:space="preserve"> al fine di addivenire ad un nuovo accordo volto a </w:t>
      </w:r>
      <w:r w:rsidRPr="0043216E">
        <w:rPr>
          <w:b/>
          <w:bCs/>
          <w:i/>
          <w:iCs/>
          <w:u w:val="single"/>
        </w:rPr>
        <w:t>riportare in equilibrio il contratto</w:t>
      </w:r>
      <w:r w:rsidRPr="00F018EE">
        <w:rPr>
          <w:i/>
          <w:iCs/>
        </w:rPr>
        <w:t xml:space="preserve"> entro i limiti dell’alea normale del contratto. La clausola generale di buona fede e correttezza, invero, ha la funzione di rendere flessibile l’ordinamento, consentendo la tutela di fattispecie non contemplate dal legislatore</w:t>
      </w:r>
      <w:r>
        <w:t xml:space="preserve">”. </w:t>
      </w:r>
    </w:p>
    <w:p w14:paraId="5ACE43EB" w14:textId="5F536207" w:rsidR="00890545" w:rsidRDefault="00890545" w:rsidP="008922AC">
      <w:pPr>
        <w:ind w:firstLine="0"/>
      </w:pPr>
      <w:r>
        <w:t xml:space="preserve">In questa occasione, il Tribunale ha impedito al locatore di escutere il fideiussore del conduttore prima di </w:t>
      </w:r>
      <w:r w:rsidR="00BD131B">
        <w:t xml:space="preserve">aver intrapreso una trattativa con quest’ultimo. Il fine, naturalmente, oltre che di salvaguardare il rispetto degli obblighi di buona fede e correttezza, è anche quello di tentare – fintanto che la prestazione non sia divenuta effettivamente inesigibile – la conservazione del negozio giuridico. </w:t>
      </w:r>
    </w:p>
    <w:p w14:paraId="2BA60BBB" w14:textId="65F01C00" w:rsidR="00FE610F" w:rsidRDefault="00FE610F" w:rsidP="008922AC">
      <w:pPr>
        <w:ind w:firstLine="0"/>
      </w:pPr>
      <w:r>
        <w:t>Tale provvedimento sancisce l’obbligo delle parti che vedono modificarsi le condizioni economiche preesistenti alla conclusione del contratto di intavolare delle trattative per “salvar</w:t>
      </w:r>
      <w:r w:rsidR="0043216E">
        <w:t>lo”</w:t>
      </w:r>
      <w:r>
        <w:t xml:space="preserve">. L’obbligo in questione, introdotto certamente per la situazione particolare che si era presentata all’epoca (tuttora, in parte, ancora attuale), tuttavia viene recepito dalla </w:t>
      </w:r>
      <w:r w:rsidR="0043216E">
        <w:t>g</w:t>
      </w:r>
      <w:r>
        <w:t xml:space="preserve">iurisprudenza come un obbligo generalizzato. </w:t>
      </w:r>
    </w:p>
    <w:p w14:paraId="48C4F5E5" w14:textId="1CE49118" w:rsidR="00D930C6" w:rsidRDefault="00FE610F" w:rsidP="008922AC">
      <w:pPr>
        <w:ind w:firstLine="0"/>
      </w:pPr>
      <w:r>
        <w:t>È ciò che si legge nella Relazione n. 56 dell’ 8 luglio 2020 dell’Ufficio del Massimario della Corte di Cassazione. Per la Corte “</w:t>
      </w:r>
      <w:r w:rsidRPr="00FE610F">
        <w:t>…</w:t>
      </w:r>
      <w:r w:rsidRPr="00FE610F">
        <w:rPr>
          <w:i/>
          <w:iCs/>
        </w:rPr>
        <w:t>il dovere di correttezza contrattuale non è soltanto una clausola generale destinata a regolare le trattative, la conclusione, l’interpretazione e l’esecuzione del rapporto, ma è anche una fonte di integrazione del contratto, in quanto richiamata dall’art. 1374 sub specie di legge</w:t>
      </w:r>
      <w:r w:rsidRPr="00FE610F">
        <w:t xml:space="preserve">“. </w:t>
      </w:r>
    </w:p>
    <w:p w14:paraId="2E42D47C" w14:textId="162721F6" w:rsidR="00D930C6" w:rsidRDefault="00FE610F" w:rsidP="008922AC">
      <w:pPr>
        <w:ind w:firstLine="0"/>
      </w:pPr>
      <w:r w:rsidRPr="00FE610F">
        <w:t xml:space="preserve">Ed in </w:t>
      </w:r>
      <w:r w:rsidR="00D930C6">
        <w:t>sostanza</w:t>
      </w:r>
      <w:r w:rsidRPr="00FE610F">
        <w:t>, “…</w:t>
      </w:r>
      <w:r w:rsidRPr="00FE610F">
        <w:rPr>
          <w:i/>
          <w:iCs/>
        </w:rPr>
        <w:t>proprio la portata sistematica della buona fede oggettiva nella fase esecutiva del contratto ex art. 1375 c.c. assume </w:t>
      </w:r>
      <w:r w:rsidRPr="00931CBF">
        <w:rPr>
          <w:b/>
          <w:bCs/>
          <w:i/>
          <w:iCs/>
          <w:u w:val="single"/>
        </w:rPr>
        <w:t>assoluta centralità</w:t>
      </w:r>
      <w:r w:rsidRPr="00FE610F">
        <w:rPr>
          <w:i/>
          <w:iCs/>
        </w:rPr>
        <w:t>, postulando la </w:t>
      </w:r>
      <w:r w:rsidRPr="00931CBF">
        <w:rPr>
          <w:b/>
          <w:bCs/>
          <w:i/>
          <w:iCs/>
          <w:u w:val="single"/>
        </w:rPr>
        <w:t>rinegoziazione come cammino necessitato</w:t>
      </w:r>
      <w:r w:rsidRPr="00FE610F">
        <w:rPr>
          <w:i/>
          <w:iCs/>
        </w:rPr>
        <w:t> di adattamento del contratto alle circostanze ed esigenze sopravvenute</w:t>
      </w:r>
      <w:r w:rsidRPr="00FE610F">
        <w:t xml:space="preserve">“. </w:t>
      </w:r>
    </w:p>
    <w:p w14:paraId="57BA9983" w14:textId="1DAA3BB7" w:rsidR="00FE610F" w:rsidRDefault="00D930C6" w:rsidP="008922AC">
      <w:pPr>
        <w:ind w:firstLine="0"/>
      </w:pPr>
      <w:r>
        <w:t>Per la Suprema Corte, quindi, il cammino verso la risoluzione di una controversia, che prende le mosse da una sopravvenuta variazione delle condizioni sostanziali delle parti,</w:t>
      </w:r>
      <w:r w:rsidR="00FE610F" w:rsidRPr="00FE610F">
        <w:t xml:space="preserve"> “…</w:t>
      </w:r>
      <w:r w:rsidR="00FE610F" w:rsidRPr="00FE610F">
        <w:rPr>
          <w:i/>
          <w:iCs/>
        </w:rPr>
        <w:t xml:space="preserve">va intrapreso attraverso il ricorso alla </w:t>
      </w:r>
      <w:r w:rsidR="00FE610F" w:rsidRPr="00D930C6">
        <w:rPr>
          <w:b/>
          <w:bCs/>
          <w:i/>
          <w:iCs/>
          <w:u w:val="single"/>
        </w:rPr>
        <w:t>rinegoziazione</w:t>
      </w:r>
      <w:r w:rsidR="00FE610F" w:rsidRPr="00FE610F">
        <w:t>“.</w:t>
      </w:r>
    </w:p>
    <w:p w14:paraId="26C18BD0" w14:textId="17A78F00" w:rsidR="00D930C6" w:rsidRDefault="00D930C6" w:rsidP="008922AC">
      <w:pPr>
        <w:ind w:firstLine="0"/>
      </w:pPr>
      <w:r>
        <w:t xml:space="preserve">È opportuno chiarire il contenuto dell’obbligo individuato dalla Corte. Esso non deve essere inteso come l’obbligo di </w:t>
      </w:r>
      <w:r w:rsidR="0043216E">
        <w:t>giungere necessariamente ad un nuovo accordo, ma deve essere interpretato come l’obbligo delle parti di intraprendere una trattativa in buona fede.</w:t>
      </w:r>
      <w:r w:rsidR="00E06D91">
        <w:t xml:space="preserve"> Infatti si legge nella relazione che “</w:t>
      </w:r>
      <w:r w:rsidR="00E06D91" w:rsidRPr="00E06D91">
        <w:t>…</w:t>
      </w:r>
      <w:r w:rsidR="00E06D91" w:rsidRPr="00E06D91">
        <w:rPr>
          <w:b/>
          <w:bCs/>
          <w:i/>
          <w:iCs/>
          <w:u w:val="single"/>
        </w:rPr>
        <w:t xml:space="preserve">l’obbligo di </w:t>
      </w:r>
      <w:r w:rsidR="00E06D91" w:rsidRPr="00E06D91">
        <w:rPr>
          <w:b/>
          <w:bCs/>
          <w:i/>
          <w:iCs/>
          <w:u w:val="single"/>
        </w:rPr>
        <w:lastRenderedPageBreak/>
        <w:t>rinegoziare impone di intavolare nuove trattative e di condurle correttamente</w:t>
      </w:r>
      <w:r w:rsidR="00E06D91" w:rsidRPr="00E06D91">
        <w:rPr>
          <w:i/>
          <w:iCs/>
        </w:rPr>
        <w:t>, ma non anche di concludere il contratto modificativo. Pertanto, la parte tenuta alla rinegoziazione è adempiente se, in presenza dei presupposti che richiedono la revisione del contratto, promuove una trattativa o raccoglie positivamente l’invito di rinegoziare rivoltole dalla controparte (…) di sicuro non può esserle richiesto di acconsentire ad ogni pretesa della parte svantaggiata o di addivenire in ogni caso alla conclusione del contratto, che, è evidente, presuppone valutazioni personali di convenienza economica e giuridica che non possono essere sottratte né all’uno, né all’altro contraente. Si avrà, per contro, inadempimento se la parte tenuta alla rinegoziazione si oppone in maniera assoluta e ingiustificata ad essa o si limita ad intavolare delle trattative di mera facciata, ma senza alcuna effettiva intenzione di rivedere i termini dell’accordo</w:t>
      </w:r>
      <w:r w:rsidR="00931CBF">
        <w:t xml:space="preserve">”. </w:t>
      </w:r>
    </w:p>
    <w:p w14:paraId="3DBC2AE8" w14:textId="59FA2504" w:rsidR="00E06D91" w:rsidRDefault="00E06D91" w:rsidP="008922AC">
      <w:pPr>
        <w:ind w:firstLine="0"/>
      </w:pPr>
      <w:r>
        <w:t xml:space="preserve">Alcuni commentatori ravvisano in questa relazione della Corte un riferimento al dovere di solidarietà sancito dall’art. 2 della Costituzione. Anche la stessa Cassazione ad </w:t>
      </w:r>
      <w:proofErr w:type="spellStart"/>
      <w:r>
        <w:t>onor</w:t>
      </w:r>
      <w:proofErr w:type="spellEnd"/>
      <w:r>
        <w:t xml:space="preserve"> del vero fa un riferimento esplicito a questa norma costituzionale. Tuttavia, se il principio derivasse soltanto da un dovere di solidarietà esso a nostro avviso sarebbe eccessivamente limitato alla situazione pandemica. </w:t>
      </w:r>
    </w:p>
    <w:p w14:paraId="6C6AFB4B" w14:textId="60ED71A9" w:rsidR="00E06D91" w:rsidRDefault="00E06D91" w:rsidP="008922AC">
      <w:pPr>
        <w:ind w:firstLine="0"/>
      </w:pPr>
      <w:r>
        <w:t xml:space="preserve">L’obbligo di rinegoziare, invece, è l’occasione per ribadire un principio, in primo luogo economico e poi giuridico, che la permanenza in vita del rapporto contrattuale, ancorché a condizioni economiche modificate, è comunque preferibile alla sua estinzione. </w:t>
      </w:r>
    </w:p>
    <w:p w14:paraId="102E4CD2" w14:textId="4A74AA31" w:rsidR="004E7B0A" w:rsidRDefault="004E7B0A" w:rsidP="008922AC">
      <w:pPr>
        <w:ind w:firstLine="0"/>
      </w:pPr>
      <w:r>
        <w:t xml:space="preserve">La materia è certamente in fase di gestazione, ma sembra che sia il legislatore sia la giurisprudenza si stiano muovendo in questa direzione, anche se molti interrogativi restano ancora aperti (non da ultimo, quale rimedio sia percorribile nel caso in cui una parte rifiuti ingiustificatamente di trattare). </w:t>
      </w:r>
    </w:p>
    <w:p w14:paraId="03044694" w14:textId="554CD3F7" w:rsidR="00D930C6" w:rsidRDefault="00D930C6" w:rsidP="008922AC">
      <w:pPr>
        <w:ind w:firstLine="0"/>
      </w:pPr>
      <w:r>
        <w:t xml:space="preserve">In quest’ottica, a nostro avviso, </w:t>
      </w:r>
      <w:r w:rsidR="00931CBF">
        <w:t xml:space="preserve">sono evidenti i punti di contatto che l’istituto emergente della rinegoziazione ha con la Mediazione. Come noto la mediazione si inserisce tra l’emersione di una situazione conflittuale e la sua decisione in un giudizio civile, così come la rinegoziazione si inserisce tra l’emersione di un conflitto relativo all’esecuzione di un contratto di durata e la sua risoluzione (tramite sempre procedimento giudiziario). È altrettanto evidente allora come la mediazione possa diventare il luogo deputato a svolgere questo tentativo di rinegoziazione. </w:t>
      </w:r>
    </w:p>
    <w:p w14:paraId="7F6C9653" w14:textId="0628C5AA" w:rsidR="00931CBF" w:rsidRDefault="00931CBF" w:rsidP="008922AC">
      <w:pPr>
        <w:ind w:firstLine="0"/>
      </w:pPr>
      <w:r>
        <w:t xml:space="preserve">Nel caso dei contratti di locazione commerciale poi, anche il legislatore esprime la nostra stessa opinione, </w:t>
      </w:r>
      <w:r w:rsidR="000960E5">
        <w:t>individuando la materia delle locazioni come materia obbligatoria</w:t>
      </w:r>
      <w:r w:rsidR="004E7B0A">
        <w:t xml:space="preserve">. </w:t>
      </w:r>
    </w:p>
    <w:p w14:paraId="6533CE31" w14:textId="352F5634" w:rsidR="004E7B0A" w:rsidRPr="00FE610F" w:rsidRDefault="004E7B0A" w:rsidP="008922AC">
      <w:pPr>
        <w:ind w:firstLine="0"/>
      </w:pPr>
      <w:r>
        <w:t xml:space="preserve">Considerati i limitati costi della procedura, in particolare se confrontati con quelli relativi al giudizio civile, la limitata tempistica entro cui si svolge ed il probabile esito soddisfacente e positivo che le parti traggono dalla procedura di mediazione, e non da ultimo ciò che si è detto riguardo </w:t>
      </w:r>
      <w:r w:rsidR="008D630B">
        <w:t xml:space="preserve">alla convenienza di mantenere in essere un contratto piuttosto che risolverlo, è evidente che gli Organismi di mediazione svolgeranno un ruolo fondamentale nell’aiutare le parti a rinegoziare i contratti, partendo da quelli di locazione commerciale. </w:t>
      </w:r>
    </w:p>
    <w:p w14:paraId="246C9ECB" w14:textId="2CA01021" w:rsidR="00FE610F" w:rsidRDefault="00FE610F" w:rsidP="00457E44"/>
    <w:p w14:paraId="099D2EA6" w14:textId="1BA377C8" w:rsidR="00F018EE" w:rsidRPr="00F018EE" w:rsidRDefault="00F018EE" w:rsidP="00F018EE"/>
    <w:p w14:paraId="1D3CE205" w14:textId="77777777" w:rsidR="005851C7" w:rsidRDefault="005851C7" w:rsidP="005851C7"/>
    <w:sectPr w:rsidR="005851C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1C7"/>
    <w:rsid w:val="000960E5"/>
    <w:rsid w:val="002A064C"/>
    <w:rsid w:val="002B2AF9"/>
    <w:rsid w:val="0043216E"/>
    <w:rsid w:val="00457E44"/>
    <w:rsid w:val="004E7B0A"/>
    <w:rsid w:val="005851C7"/>
    <w:rsid w:val="00890545"/>
    <w:rsid w:val="008922AC"/>
    <w:rsid w:val="008D630B"/>
    <w:rsid w:val="00931CBF"/>
    <w:rsid w:val="00BD131B"/>
    <w:rsid w:val="00D930C6"/>
    <w:rsid w:val="00E06D91"/>
    <w:rsid w:val="00E74A23"/>
    <w:rsid w:val="00F018EE"/>
    <w:rsid w:val="00FC13F6"/>
    <w:rsid w:val="00FE61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8597C"/>
  <w15:chartTrackingRefBased/>
  <w15:docId w15:val="{A26D3A7C-5307-6E4B-8E25-CCE19A713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pPr>
        <w:spacing w:before="120" w:after="120" w:line="30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13F6"/>
    <w:rPr>
      <w:sz w:val="22"/>
      <w:szCs w:val="22"/>
    </w:rPr>
  </w:style>
  <w:style w:type="paragraph" w:styleId="Titolo1">
    <w:name w:val="heading 1"/>
    <w:basedOn w:val="Normale"/>
    <w:next w:val="Normale"/>
    <w:link w:val="Titolo1Carattere"/>
    <w:autoRedefine/>
    <w:uiPriority w:val="9"/>
    <w:qFormat/>
    <w:rsid w:val="00FC13F6"/>
    <w:pPr>
      <w:keepNext/>
      <w:keepLines/>
      <w:spacing w:before="240" w:after="0"/>
      <w:jc w:val="center"/>
      <w:outlineLvl w:val="0"/>
    </w:pPr>
    <w:rPr>
      <w:rFonts w:asciiTheme="majorHAnsi" w:eastAsiaTheme="majorEastAsia" w:hAnsiTheme="majorHAnsi" w:cstheme="majorBidi"/>
      <w:b/>
      <w:color w:val="000000" w:themeColor="text1"/>
      <w:sz w:val="28"/>
      <w:szCs w:val="32"/>
    </w:rPr>
  </w:style>
  <w:style w:type="paragraph" w:styleId="Titolo2">
    <w:name w:val="heading 2"/>
    <w:basedOn w:val="Normale"/>
    <w:next w:val="Normale"/>
    <w:link w:val="Titolo2Carattere"/>
    <w:autoRedefine/>
    <w:uiPriority w:val="9"/>
    <w:unhideWhenUsed/>
    <w:qFormat/>
    <w:rsid w:val="00FC13F6"/>
    <w:pPr>
      <w:keepNext/>
      <w:keepLines/>
      <w:spacing w:before="40" w:after="0"/>
      <w:ind w:firstLine="0"/>
      <w:outlineLvl w:val="1"/>
    </w:pPr>
    <w:rPr>
      <w:rFonts w:asciiTheme="majorHAnsi" w:eastAsiaTheme="majorEastAsia" w:hAnsiTheme="majorHAnsi" w:cstheme="majorBidi"/>
      <w:b/>
      <w:color w:val="000000" w:themeColor="text1"/>
      <w:sz w:val="24"/>
      <w:szCs w:val="26"/>
      <w:u w:val="single"/>
    </w:rPr>
  </w:style>
  <w:style w:type="paragraph" w:styleId="Titolo3">
    <w:name w:val="heading 3"/>
    <w:basedOn w:val="Normale"/>
    <w:next w:val="Normale"/>
    <w:link w:val="Titolo3Carattere"/>
    <w:autoRedefine/>
    <w:uiPriority w:val="9"/>
    <w:unhideWhenUsed/>
    <w:qFormat/>
    <w:rsid w:val="00FC13F6"/>
    <w:pPr>
      <w:keepNext/>
      <w:keepLines/>
      <w:spacing w:before="40"/>
      <w:ind w:firstLine="0"/>
      <w:outlineLvl w:val="2"/>
    </w:pPr>
    <w:rPr>
      <w:rFonts w:eastAsiaTheme="majorEastAsia" w:cstheme="majorBidi"/>
      <w:i/>
      <w:color w:val="000000" w:themeColor="text1"/>
      <w:szCs w:val="24"/>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FC13F6"/>
    <w:rPr>
      <w:rFonts w:eastAsiaTheme="majorEastAsia" w:cstheme="majorBidi"/>
      <w:i/>
      <w:color w:val="000000" w:themeColor="text1"/>
      <w:sz w:val="22"/>
      <w:u w:val="single"/>
    </w:rPr>
  </w:style>
  <w:style w:type="paragraph" w:styleId="Titolo">
    <w:name w:val="Title"/>
    <w:basedOn w:val="Normale"/>
    <w:next w:val="Normale"/>
    <w:link w:val="TitoloCarattere"/>
    <w:autoRedefine/>
    <w:uiPriority w:val="10"/>
    <w:qFormat/>
    <w:rsid w:val="00FC13F6"/>
    <w:pPr>
      <w:spacing w:line="240" w:lineRule="auto"/>
      <w:ind w:firstLine="0"/>
      <w:contextualSpacing/>
      <w:jc w:val="center"/>
    </w:pPr>
    <w:rPr>
      <w:rFonts w:asciiTheme="majorHAnsi" w:eastAsiaTheme="majorEastAsia" w:hAnsiTheme="majorHAnsi" w:cstheme="majorBidi"/>
      <w:b/>
      <w:i/>
      <w:spacing w:val="-10"/>
      <w:kern w:val="28"/>
      <w:sz w:val="32"/>
      <w:szCs w:val="56"/>
    </w:rPr>
  </w:style>
  <w:style w:type="character" w:customStyle="1" w:styleId="TitoloCarattere">
    <w:name w:val="Titolo Carattere"/>
    <w:basedOn w:val="Carpredefinitoparagrafo"/>
    <w:link w:val="Titolo"/>
    <w:uiPriority w:val="10"/>
    <w:rsid w:val="00FC13F6"/>
    <w:rPr>
      <w:rFonts w:asciiTheme="majorHAnsi" w:eastAsiaTheme="majorEastAsia" w:hAnsiTheme="majorHAnsi" w:cstheme="majorBidi"/>
      <w:b/>
      <w:i/>
      <w:spacing w:val="-10"/>
      <w:kern w:val="28"/>
      <w:sz w:val="32"/>
      <w:szCs w:val="56"/>
    </w:rPr>
  </w:style>
  <w:style w:type="character" w:customStyle="1" w:styleId="Titolo1Carattere">
    <w:name w:val="Titolo 1 Carattere"/>
    <w:basedOn w:val="Carpredefinitoparagrafo"/>
    <w:link w:val="Titolo1"/>
    <w:uiPriority w:val="9"/>
    <w:rsid w:val="00FC13F6"/>
    <w:rPr>
      <w:rFonts w:asciiTheme="majorHAnsi" w:eastAsiaTheme="majorEastAsia" w:hAnsiTheme="majorHAnsi" w:cstheme="majorBidi"/>
      <w:b/>
      <w:color w:val="000000" w:themeColor="text1"/>
      <w:sz w:val="28"/>
      <w:szCs w:val="32"/>
    </w:rPr>
  </w:style>
  <w:style w:type="character" w:customStyle="1" w:styleId="Titolo2Carattere">
    <w:name w:val="Titolo 2 Carattere"/>
    <w:basedOn w:val="Carpredefinitoparagrafo"/>
    <w:link w:val="Titolo2"/>
    <w:uiPriority w:val="9"/>
    <w:rsid w:val="00FC13F6"/>
    <w:rPr>
      <w:rFonts w:asciiTheme="majorHAnsi" w:eastAsiaTheme="majorEastAsia" w:hAnsiTheme="majorHAnsi" w:cstheme="majorBidi"/>
      <w:b/>
      <w:color w:val="000000" w:themeColor="text1"/>
      <w:szCs w:val="26"/>
      <w:u w:val="single"/>
    </w:rPr>
  </w:style>
  <w:style w:type="paragraph" w:styleId="Paragrafoelenco">
    <w:name w:val="List Paragraph"/>
    <w:basedOn w:val="Normale"/>
    <w:autoRedefine/>
    <w:uiPriority w:val="34"/>
    <w:qFormat/>
    <w:rsid w:val="00FC13F6"/>
    <w:pPr>
      <w:spacing w:after="0" w:line="240" w:lineRule="auto"/>
      <w:ind w:left="720" w:firstLine="0"/>
      <w:contextualSpacing/>
    </w:pPr>
    <w:rPr>
      <w:szCs w:val="24"/>
    </w:rPr>
  </w:style>
  <w:style w:type="character" w:styleId="Enfasigrassetto">
    <w:name w:val="Strong"/>
    <w:basedOn w:val="Carpredefinitoparagrafo"/>
    <w:uiPriority w:val="22"/>
    <w:qFormat/>
    <w:rsid w:val="005851C7"/>
    <w:rPr>
      <w:b/>
      <w:bCs/>
    </w:rPr>
  </w:style>
  <w:style w:type="character" w:customStyle="1" w:styleId="apple-converted-space">
    <w:name w:val="apple-converted-space"/>
    <w:basedOn w:val="Carpredefinitoparagrafo"/>
    <w:rsid w:val="00585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66669">
      <w:bodyDiv w:val="1"/>
      <w:marLeft w:val="0"/>
      <w:marRight w:val="0"/>
      <w:marTop w:val="0"/>
      <w:marBottom w:val="0"/>
      <w:divBdr>
        <w:top w:val="none" w:sz="0" w:space="0" w:color="auto"/>
        <w:left w:val="none" w:sz="0" w:space="0" w:color="auto"/>
        <w:bottom w:val="none" w:sz="0" w:space="0" w:color="auto"/>
        <w:right w:val="none" w:sz="0" w:space="0" w:color="auto"/>
      </w:divBdr>
    </w:div>
    <w:div w:id="109712783">
      <w:bodyDiv w:val="1"/>
      <w:marLeft w:val="0"/>
      <w:marRight w:val="0"/>
      <w:marTop w:val="0"/>
      <w:marBottom w:val="0"/>
      <w:divBdr>
        <w:top w:val="none" w:sz="0" w:space="0" w:color="auto"/>
        <w:left w:val="none" w:sz="0" w:space="0" w:color="auto"/>
        <w:bottom w:val="none" w:sz="0" w:space="0" w:color="auto"/>
        <w:right w:val="none" w:sz="0" w:space="0" w:color="auto"/>
      </w:divBdr>
    </w:div>
    <w:div w:id="239487706">
      <w:bodyDiv w:val="1"/>
      <w:marLeft w:val="0"/>
      <w:marRight w:val="0"/>
      <w:marTop w:val="0"/>
      <w:marBottom w:val="0"/>
      <w:divBdr>
        <w:top w:val="none" w:sz="0" w:space="0" w:color="auto"/>
        <w:left w:val="none" w:sz="0" w:space="0" w:color="auto"/>
        <w:bottom w:val="none" w:sz="0" w:space="0" w:color="auto"/>
        <w:right w:val="none" w:sz="0" w:space="0" w:color="auto"/>
      </w:divBdr>
    </w:div>
    <w:div w:id="1163205292">
      <w:bodyDiv w:val="1"/>
      <w:marLeft w:val="0"/>
      <w:marRight w:val="0"/>
      <w:marTop w:val="0"/>
      <w:marBottom w:val="0"/>
      <w:divBdr>
        <w:top w:val="none" w:sz="0" w:space="0" w:color="auto"/>
        <w:left w:val="none" w:sz="0" w:space="0" w:color="auto"/>
        <w:bottom w:val="none" w:sz="0" w:space="0" w:color="auto"/>
        <w:right w:val="none" w:sz="0" w:space="0" w:color="auto"/>
      </w:divBdr>
    </w:div>
    <w:div w:id="1525898074">
      <w:bodyDiv w:val="1"/>
      <w:marLeft w:val="0"/>
      <w:marRight w:val="0"/>
      <w:marTop w:val="0"/>
      <w:marBottom w:val="0"/>
      <w:divBdr>
        <w:top w:val="none" w:sz="0" w:space="0" w:color="auto"/>
        <w:left w:val="none" w:sz="0" w:space="0" w:color="auto"/>
        <w:bottom w:val="none" w:sz="0" w:space="0" w:color="auto"/>
        <w:right w:val="none" w:sz="0" w:space="0" w:color="auto"/>
      </w:divBdr>
    </w:div>
    <w:div w:id="1652634832">
      <w:bodyDiv w:val="1"/>
      <w:marLeft w:val="0"/>
      <w:marRight w:val="0"/>
      <w:marTop w:val="0"/>
      <w:marBottom w:val="0"/>
      <w:divBdr>
        <w:top w:val="none" w:sz="0" w:space="0" w:color="auto"/>
        <w:left w:val="none" w:sz="0" w:space="0" w:color="auto"/>
        <w:bottom w:val="none" w:sz="0" w:space="0" w:color="auto"/>
        <w:right w:val="none" w:sz="0" w:space="0" w:color="auto"/>
      </w:divBdr>
    </w:div>
    <w:div w:id="193806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1010</Words>
  <Characters>5763</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D'IMPORZANO</dc:creator>
  <cp:keywords/>
  <dc:description/>
  <cp:lastModifiedBy>DIEGO COMBA</cp:lastModifiedBy>
  <cp:revision>3</cp:revision>
  <dcterms:created xsi:type="dcterms:W3CDTF">2022-03-22T11:49:00Z</dcterms:created>
  <dcterms:modified xsi:type="dcterms:W3CDTF">2022-03-22T13:06:00Z</dcterms:modified>
</cp:coreProperties>
</file>